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8D60B1" w:rsidRDefault="00F74468" w:rsidP="00F74468">
      <w:pPr>
        <w:spacing w:after="0" w:line="360" w:lineRule="auto"/>
        <w:jc w:val="both"/>
        <w:rPr>
          <w:rFonts w:ascii="Palatino Linotype" w:hAnsi="Palatino Linotype"/>
          <w:b/>
        </w:rPr>
      </w:pPr>
      <w:bookmarkStart w:id="0" w:name="_GoBack"/>
      <w:bookmarkEnd w:id="0"/>
      <w:r w:rsidRPr="008D60B1">
        <w:rPr>
          <w:rFonts w:ascii="Palatino Linotype" w:hAnsi="Palatino Linotype"/>
          <w:b/>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DA1A15">
        <w:rPr>
          <w:rFonts w:ascii="Palatino Linotype" w:hAnsi="Palatino Linotype"/>
          <w:b/>
        </w:rPr>
        <w:t>SEGUNDA</w:t>
      </w:r>
      <w:r w:rsidR="00504068" w:rsidRPr="008D60B1">
        <w:rPr>
          <w:rFonts w:ascii="Palatino Linotype" w:hAnsi="Palatino Linotype"/>
          <w:b/>
        </w:rPr>
        <w:t xml:space="preserve"> </w:t>
      </w:r>
      <w:r w:rsidRPr="008D60B1">
        <w:rPr>
          <w:rFonts w:ascii="Palatino Linotype" w:hAnsi="Palatino Linotype"/>
          <w:b/>
        </w:rPr>
        <w:t xml:space="preserve">SESIÓN ORDINARIA DEL </w:t>
      </w:r>
      <w:r w:rsidR="00DA1A15">
        <w:rPr>
          <w:rFonts w:ascii="Palatino Linotype" w:hAnsi="Palatino Linotype"/>
          <w:b/>
        </w:rPr>
        <w:t xml:space="preserve">DIECISÉIS </w:t>
      </w:r>
      <w:r w:rsidRPr="008D60B1">
        <w:rPr>
          <w:rFonts w:ascii="Palatino Linotype" w:hAnsi="Palatino Linotype"/>
          <w:b/>
        </w:rPr>
        <w:t xml:space="preserve">DE </w:t>
      </w:r>
      <w:r w:rsidR="00DA1A15">
        <w:rPr>
          <w:rFonts w:ascii="Palatino Linotype" w:hAnsi="Palatino Linotype"/>
          <w:b/>
        </w:rPr>
        <w:t xml:space="preserve">ENERO </w:t>
      </w:r>
      <w:r w:rsidRPr="008D60B1">
        <w:rPr>
          <w:rFonts w:ascii="Palatino Linotype" w:hAnsi="Palatino Linotype"/>
          <w:b/>
        </w:rPr>
        <w:t>DE DOS MIL DIECI</w:t>
      </w:r>
      <w:r w:rsidR="00DA1A15">
        <w:rPr>
          <w:rFonts w:ascii="Palatino Linotype" w:hAnsi="Palatino Linotype"/>
          <w:b/>
        </w:rPr>
        <w:t>NUEVE</w:t>
      </w:r>
      <w:r w:rsidRPr="008D60B1">
        <w:rPr>
          <w:rFonts w:ascii="Palatino Linotype" w:hAnsi="Palatino Linotype"/>
          <w:b/>
        </w:rPr>
        <w:t>, EN EL RECURSO DE REVISIÓN 0</w:t>
      </w:r>
      <w:r w:rsidR="00DA1A15">
        <w:rPr>
          <w:rFonts w:ascii="Palatino Linotype" w:hAnsi="Palatino Linotype"/>
          <w:b/>
        </w:rPr>
        <w:t>4098</w:t>
      </w:r>
      <w:r w:rsidRPr="008D60B1">
        <w:rPr>
          <w:rFonts w:ascii="Palatino Linotype" w:hAnsi="Palatino Linotype"/>
          <w:b/>
        </w:rPr>
        <w:t>/INFOEM/IP/RR/2018.</w:t>
      </w:r>
    </w:p>
    <w:p w:rsidR="00F74468" w:rsidRPr="008D60B1" w:rsidRDefault="00F74468" w:rsidP="00F74468">
      <w:pPr>
        <w:spacing w:after="0" w:line="240" w:lineRule="auto"/>
        <w:jc w:val="both"/>
        <w:rPr>
          <w:rFonts w:ascii="Palatino Linotype" w:hAnsi="Palatino Linotype"/>
          <w:b/>
        </w:rPr>
      </w:pPr>
    </w:p>
    <w:p w:rsidR="00F74468" w:rsidRPr="008D60B1" w:rsidRDefault="00F74468" w:rsidP="00F74468">
      <w:pPr>
        <w:spacing w:after="0" w:line="360" w:lineRule="auto"/>
        <w:jc w:val="both"/>
        <w:rPr>
          <w:rFonts w:ascii="Palatino Linotype" w:hAnsi="Palatino Linotype"/>
        </w:rPr>
      </w:pPr>
      <w:r w:rsidRPr="008D60B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8D60B1">
        <w:rPr>
          <w:rFonts w:ascii="Palatino Linotype" w:hAnsi="Palatino Linotype"/>
          <w:b/>
        </w:rPr>
        <w:t xml:space="preserve">VOTO PARTICULAR </w:t>
      </w:r>
      <w:r w:rsidRPr="008D60B1">
        <w:rPr>
          <w:rFonts w:ascii="Palatino Linotype" w:hAnsi="Palatino Linotype"/>
        </w:rPr>
        <w:t xml:space="preserve">respecto a la resolución dictada en el recurso de revisión número </w:t>
      </w:r>
      <w:r w:rsidRPr="00DA1A15">
        <w:rPr>
          <w:rFonts w:ascii="Palatino Linotype" w:hAnsi="Palatino Linotype"/>
          <w:b/>
        </w:rPr>
        <w:t>0</w:t>
      </w:r>
      <w:r w:rsidR="00DA1A15" w:rsidRPr="00DA1A15">
        <w:rPr>
          <w:rFonts w:ascii="Palatino Linotype" w:hAnsi="Palatino Linotype"/>
          <w:b/>
        </w:rPr>
        <w:t>4098</w:t>
      </w:r>
      <w:r w:rsidRPr="00DA1A15">
        <w:rPr>
          <w:rFonts w:ascii="Palatino Linotype" w:hAnsi="Palatino Linotype"/>
          <w:b/>
        </w:rPr>
        <w:t>/INFOEM/IP/RR/2018</w:t>
      </w:r>
      <w:r w:rsidRPr="008D60B1">
        <w:rPr>
          <w:rFonts w:ascii="Palatino Linotype" w:hAnsi="Palatino Linotype"/>
        </w:rPr>
        <w:t xml:space="preserve">, pronunciada por el Pleno de este Instituto ante el proyecto presentado por el Comisionado José Guadalupe Luna Hernández. </w:t>
      </w:r>
    </w:p>
    <w:p w:rsidR="00F74468" w:rsidRPr="008D60B1" w:rsidRDefault="00F74468" w:rsidP="00F74468">
      <w:pPr>
        <w:spacing w:after="0" w:line="360" w:lineRule="auto"/>
        <w:jc w:val="both"/>
        <w:rPr>
          <w:rFonts w:ascii="Palatino Linotype" w:hAnsi="Palatino Linotype"/>
        </w:rPr>
      </w:pPr>
      <w:r w:rsidRPr="008D60B1">
        <w:rPr>
          <w:rFonts w:ascii="Palatino Linotype" w:hAnsi="Palatino Linotype"/>
        </w:rPr>
        <w:t>Antes de platear el punto sobre el cual versa el presente voto, es de suma importancia mencionar que el suscrito en términos generales coincide en el sentido de la resolución del recurso de revisión al rubro indicado, lo anterior es así como a continuación se explica: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De manera previa a la emisión del presente voto, cabe precisar que la materia en que radicó el recurso de revisión, lo fue en que se proporcionara por parte del </w:t>
      </w:r>
      <w:r w:rsidR="00DA1A15">
        <w:rPr>
          <w:rFonts w:ascii="Palatino Linotype" w:hAnsi="Palatino Linotype"/>
        </w:rPr>
        <w:t>Sindicato Unificado de Maestros y Académicos del Estado de México</w:t>
      </w:r>
      <w:r w:rsidRPr="008D60B1">
        <w:rPr>
          <w:rFonts w:ascii="Palatino Linotype" w:hAnsi="Palatino Linotype"/>
        </w:rPr>
        <w:t>,</w:t>
      </w:r>
      <w:r w:rsidR="00F74D95">
        <w:rPr>
          <w:rFonts w:ascii="Palatino Linotype" w:hAnsi="Palatino Linotype"/>
        </w:rPr>
        <w:t xml:space="preserve"> respecto a la información relacionada con las declaraciones patrimoniales de todos los contralores internos del estado , pago de impuestos</w:t>
      </w:r>
      <w:r w:rsidR="00F92B86">
        <w:rPr>
          <w:rFonts w:ascii="Palatino Linotype" w:hAnsi="Palatino Linotype"/>
        </w:rPr>
        <w:t xml:space="preserve"> entre otras cosas</w:t>
      </w:r>
      <w:r w:rsidRPr="008D60B1">
        <w:rPr>
          <w:rFonts w:ascii="Palatino Linotype" w:hAnsi="Palatino Linotype"/>
        </w:rPr>
        <w:t xml:space="preserve">; al respecto, dicho Sujeto Obligado fue omiso en otorgar una respuesta, por lo que transcurrido el plazo concedido para cumplir con ello de conformidad al artículo 163 de la Ley de Transparencia y Acceso a la Información Pública del Estado de México y </w:t>
      </w:r>
      <w:r w:rsidRPr="008D60B1">
        <w:rPr>
          <w:rFonts w:ascii="Palatino Linotype" w:hAnsi="Palatino Linotype"/>
        </w:rPr>
        <w:lastRenderedPageBreak/>
        <w:t xml:space="preserve">Municipios, </w:t>
      </w:r>
      <w:r w:rsidR="0078274C">
        <w:rPr>
          <w:rFonts w:ascii="Palatino Linotype" w:hAnsi="Palatino Linotype"/>
        </w:rPr>
        <w:t>el</w:t>
      </w:r>
      <w:r w:rsidRPr="008D60B1">
        <w:rPr>
          <w:rFonts w:ascii="Palatino Linotype" w:hAnsi="Palatino Linotype"/>
        </w:rPr>
        <w:t xml:space="preserve"> recurrente presentó su recurso de revisión, quejándose de no haberse cumplido los términos del tiempo.</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Aunado a lo anterior el Sujeto Obligado fue omiso en presentar su informe justificado, ofrecer pruebas, o presentar alegato alguno; esto es, fue totalmente remiso en emitir pronunciamiento respecto de la solicitud de información que le fue formulada.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Así las cosas el Comisionado ponente, en la resolución presentada ante el Pleno de este Instituto, se limitó a referir –en resumen- que la omisión de dar respuesta por parte del Sujeto Obligado constituye una vulneración al derecho de acceso a la información pública, el cual está constreñido a promover, respetar, proteger y más aún a garantizar de conformidad con la propia Constitución Política del Estados Unidos Mexicanos, empero, también argumentó que para dar cumplimiento a la resolución el Sujeto Obligado debía atender la solicitud de información sin que fuera necesario para este Órgano Garante analizar o prejuzgar si la información que le fue solicitada obra en los archivos del Sujeto Obligado, dejándole el deber a éste de sustanciar todo el procedimiento de acceso a la información pública verificando si la información que se le requirió corresponde al ejercicio de sus facultades, competencias o funciones; luego, si la información se encuentra en dicho supuesto y es localizada en sus archivos valorar si procede su entrega en su totalidad, en versión pública o debe restringirse el acceso por tratarse de información clasificada y para el caso de no se localice valorar la emisión de una declaración formal de inexistencia los supuestos en que ello debe ocurrir.</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 Finalmente se señala que el cumplimiento a la resolución será susceptible de ser impugnado de nueva cuenta mediante recurso de revisión, por tener como origen la falta de respuesta a la solicitud de acceso a la información.</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lastRenderedPageBreak/>
        <w:t xml:space="preserve">De tal manera que en los resolutivos, únicamente se determina ordenar la atención a la solicitud de acceso a la información de la recurrente y </w:t>
      </w:r>
      <w:r w:rsidRPr="008D60B1">
        <w:rPr>
          <w:rFonts w:ascii="Palatino Linotype" w:hAnsi="Palatino Linotype"/>
          <w:i/>
        </w:rPr>
        <w:t>en su caso</w:t>
      </w:r>
      <w:r w:rsidRPr="008D60B1">
        <w:rPr>
          <w:rFonts w:ascii="Palatino Linotype" w:hAnsi="Palatino Linotype"/>
        </w:rPr>
        <w:t xml:space="preserve"> entregar la información.</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En otras palabras, en la resolución motivo del presente voto no se analiza si el Sujeto Obligado genera, posee o administra la información que le fue requerida en razón del ejercicio de las distintas facultades competencias y funciones que los ordenamientos jurídicos le confieren; y por ende mucho menos se analiza la procedencia de la entrega de la información, por considerar que al devenir la litis de una falta de respuesta, corresponde al Sujeto Obligado valorar todo ello y entonces atender la solicitud de acceso a la información que le fue formulada.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Lo anterior es la razón del presente voto, pues si bien comparto el deber para el Sujeto Obligado de dar atención a la solicitud de información, lo cual es incuestionable, lo cierto es que considero que la labor para este Órgano Garante no puede limitarse a ordenarle al Sujeto Obligado la realización de lo que no hizo en un principio, ello por las consideraciones que a continuación explico.</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36116F" w:rsidRPr="008D60B1" w:rsidRDefault="0036116F" w:rsidP="0036116F">
      <w:pPr>
        <w:spacing w:before="240" w:after="240" w:line="240" w:lineRule="auto"/>
        <w:ind w:left="851" w:right="900"/>
        <w:jc w:val="both"/>
        <w:rPr>
          <w:rFonts w:ascii="Palatino Linotype" w:hAnsi="Palatino Linotype"/>
          <w:i/>
        </w:rPr>
      </w:pPr>
      <w:r w:rsidRPr="008D60B1">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36116F" w:rsidRPr="008D60B1" w:rsidRDefault="0036116F" w:rsidP="0036116F">
      <w:pPr>
        <w:spacing w:before="240" w:after="240" w:line="240" w:lineRule="auto"/>
        <w:ind w:left="851" w:right="900"/>
        <w:jc w:val="both"/>
        <w:rPr>
          <w:rFonts w:ascii="Palatino Linotype" w:hAnsi="Palatino Linotype"/>
          <w:i/>
        </w:rPr>
      </w:pPr>
      <w:r w:rsidRPr="008D60B1">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Ahora, como bien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En tal tesitura, si nos remitimos al significado de </w:t>
      </w:r>
      <w:r w:rsidRPr="008D60B1">
        <w:rPr>
          <w:rFonts w:ascii="Palatino Linotype" w:hAnsi="Palatino Linotype"/>
          <w:i/>
        </w:rPr>
        <w:t>garantizar</w:t>
      </w:r>
      <w:r w:rsidRPr="008D60B1">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Pues la Ley de Transparencia, ya es lo suficientemente clara señalando el procedimiento de acceso a la información pública, en su Título Séptimo, </w:t>
      </w:r>
      <w:r w:rsidRPr="008D60B1">
        <w:rPr>
          <w:rFonts w:ascii="Palatino Linotype" w:hAnsi="Palatino Linotype"/>
          <w:i/>
        </w:rPr>
        <w:t xml:space="preserve">Acceso a la Información Pública, </w:t>
      </w:r>
      <w:r w:rsidRPr="008D60B1">
        <w:rPr>
          <w:rFonts w:ascii="Palatino Linotype" w:hAnsi="Palatino Linotype"/>
        </w:rPr>
        <w:t xml:space="preserve">Capítulo I, </w:t>
      </w:r>
      <w:r w:rsidRPr="008D60B1">
        <w:rPr>
          <w:rFonts w:ascii="Palatino Linotype" w:hAnsi="Palatino Linotype"/>
          <w:i/>
        </w:rPr>
        <w:t>Del Procedimiento de Acceso a la Información Pública,</w:t>
      </w:r>
      <w:r w:rsidRPr="008D60B1">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En otras palabras una resolución no puede ser solamente el medio donde se explique de manera extensa lo dictado por la ley, sino debe ser el medio en el que se juzgue el actua</w:t>
      </w:r>
      <w:r w:rsidR="00941B56" w:rsidRPr="008D60B1">
        <w:rPr>
          <w:rFonts w:ascii="Palatino Linotype" w:hAnsi="Palatino Linotype"/>
        </w:rPr>
        <w:t xml:space="preserve">r del Sujeto Obligado, pero </w:t>
      </w:r>
      <w:r w:rsidRPr="008D60B1">
        <w:rPr>
          <w:rFonts w:ascii="Palatino Linotype" w:hAnsi="Palatino Linotype"/>
        </w:rPr>
        <w:t xml:space="preserve">sin que se traduzca en una simple opinión, sino en un medio que asegure la atención del derecho. </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para ello.</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Además de que analizar, la naturaleza de la información y la procedencia de su entrega, coadyuvaría a cumplir con observar los principios de sencillez y expedites que la Ley obliga a tomar en consideración en el proceso de acceso a la información, pues de lo contrario si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derecho, cuando ello puede mejorarse, explicando la incompetencia del Sujeto Obligado, u ordenando la entrega de la información o del acuerdo que fundamente la restricción.</w:t>
      </w:r>
    </w:p>
    <w:p w:rsidR="008D60B1"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 xml:space="preserve">Más aun, </w:t>
      </w:r>
      <w:r w:rsidR="008D60B1" w:rsidRPr="008D60B1">
        <w:rPr>
          <w:rFonts w:ascii="Palatino Linotype" w:hAnsi="Palatino Linotype"/>
        </w:rPr>
        <w:t>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se localiza precepto normativo del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36116F" w:rsidRPr="008D60B1" w:rsidRDefault="0036116F" w:rsidP="0036116F">
      <w:pPr>
        <w:spacing w:before="240" w:after="240" w:line="360" w:lineRule="auto"/>
        <w:jc w:val="both"/>
        <w:rPr>
          <w:rFonts w:ascii="Palatino Linotype" w:hAnsi="Palatino Linotype"/>
        </w:rPr>
      </w:pPr>
      <w:r w:rsidRPr="008D60B1">
        <w:rPr>
          <w:rFonts w:ascii="Palatino Linotype" w:hAnsi="Palatino Linotype"/>
        </w:rPr>
        <w:t>De ahí, que no se comparta que la resolución se limite en los resolutivos a ordenar la atención a la solicitud de información y en su caso la entrega de la información; máxime que la Ley de Transparencia y Acceso a la Información Pública, no señala que eso pueda ser una posibilidad para las resoluciones que emite el Órgano Garante</w:t>
      </w:r>
      <w:r w:rsidRPr="008D60B1">
        <w:rPr>
          <w:rStyle w:val="Refdenotaalpie"/>
          <w:rFonts w:ascii="Palatino Linotype" w:hAnsi="Palatino Linotype"/>
        </w:rPr>
        <w:footnoteReference w:id="1"/>
      </w:r>
      <w:r w:rsidRPr="008D60B1">
        <w:rPr>
          <w:rFonts w:ascii="Palatino Linotype" w:hAnsi="Palatino Linotype"/>
        </w:rPr>
        <w:t>, ya que únicamente da la posibilidad a desechar o sobreseer el recurso, confirmar la respuesta del Sujeto Obligado, revocar o modificar la respuesta del Sujeto Obligado y ordenar la entrega de la información, siendo evidentemente la primera y última de las opciones sentidos en los que pudiera resolverse los casos de una omisión de respuesta.</w:t>
      </w:r>
    </w:p>
    <w:p w:rsidR="00F74468" w:rsidRPr="008D60B1" w:rsidRDefault="0036116F" w:rsidP="00941B56">
      <w:pPr>
        <w:spacing w:before="240" w:after="0" w:line="360" w:lineRule="auto"/>
        <w:jc w:val="both"/>
        <w:rPr>
          <w:rFonts w:ascii="Palatino Linotype" w:hAnsi="Palatino Linotype" w:cs="Arial"/>
        </w:rPr>
      </w:pPr>
      <w:r w:rsidRPr="008D60B1">
        <w:rPr>
          <w:rFonts w:ascii="Palatino Linotype" w:hAnsi="Palatino Linotype" w:cs="Arial"/>
        </w:rPr>
        <w:t xml:space="preserve">Por todo lo expuesto es que formulo el presente voto particular, en los términos precisados, </w:t>
      </w:r>
      <w:r w:rsidR="00941B56" w:rsidRPr="008D60B1">
        <w:rPr>
          <w:rFonts w:ascii="Palatino Linotype" w:hAnsi="Palatino Linotype" w:cs="Arial"/>
        </w:rPr>
        <w:t xml:space="preserve">concluyendo </w:t>
      </w:r>
      <w:r w:rsidRPr="008D60B1">
        <w:rPr>
          <w:rFonts w:ascii="Palatino Linotype" w:hAnsi="Palatino Linotype" w:cs="Arial"/>
        </w:rPr>
        <w:t xml:space="preserve">que las consideraciones aquí expuestas hubieran resultado importantes para ordenar la entrega de la información motivo del recurso de revisión que fue resuelto por el Pleno de este Instituto, mencionado. </w:t>
      </w:r>
    </w:p>
    <w:p w:rsidR="00F74468" w:rsidRPr="008D60B1" w:rsidRDefault="00F74468" w:rsidP="00F74468">
      <w:pPr>
        <w:spacing w:after="0" w:line="360" w:lineRule="auto"/>
        <w:rPr>
          <w:rFonts w:ascii="Palatino Linotype" w:hAnsi="Palatino Linotype"/>
          <w:b/>
          <w:sz w:val="23"/>
          <w:szCs w:val="23"/>
        </w:rPr>
      </w:pPr>
    </w:p>
    <w:p w:rsidR="00F74468" w:rsidRPr="008D60B1" w:rsidRDefault="00F74468" w:rsidP="00F74468">
      <w:pPr>
        <w:spacing w:after="0" w:line="240" w:lineRule="auto"/>
        <w:jc w:val="center"/>
        <w:rPr>
          <w:rFonts w:ascii="Palatino Linotype" w:hAnsi="Palatino Linotype"/>
          <w:b/>
          <w:sz w:val="23"/>
          <w:szCs w:val="23"/>
        </w:rPr>
      </w:pPr>
      <w:r w:rsidRPr="008D60B1">
        <w:rPr>
          <w:rFonts w:ascii="Palatino Linotype" w:hAnsi="Palatino Linotype"/>
          <w:b/>
          <w:sz w:val="23"/>
          <w:szCs w:val="23"/>
        </w:rPr>
        <w:t xml:space="preserve">     Javier Martínez Cruz</w:t>
      </w:r>
    </w:p>
    <w:p w:rsidR="00F74468" w:rsidRPr="008D60B1" w:rsidRDefault="00F74468" w:rsidP="00F74468">
      <w:pPr>
        <w:spacing w:after="0" w:line="240" w:lineRule="auto"/>
        <w:jc w:val="center"/>
        <w:rPr>
          <w:rFonts w:ascii="Palatino Linotype" w:hAnsi="Palatino Linotype"/>
          <w:sz w:val="23"/>
          <w:szCs w:val="23"/>
        </w:rPr>
      </w:pPr>
      <w:r w:rsidRPr="008D60B1">
        <w:rPr>
          <w:rFonts w:ascii="Palatino Linotype" w:hAnsi="Palatino Linotype"/>
          <w:sz w:val="23"/>
          <w:szCs w:val="23"/>
        </w:rPr>
        <w:t>Comisionado</w:t>
      </w:r>
    </w:p>
    <w:p w:rsidR="004102EB" w:rsidRPr="0036116F" w:rsidRDefault="009B4E6C" w:rsidP="0036116F">
      <w:pPr>
        <w:spacing w:after="0" w:line="240" w:lineRule="auto"/>
        <w:jc w:val="center"/>
        <w:rPr>
          <w:rFonts w:ascii="Palatino Linotype" w:hAnsi="Palatino Linotype"/>
          <w:sz w:val="23"/>
          <w:szCs w:val="23"/>
        </w:rPr>
      </w:pPr>
    </w:p>
    <w:sectPr w:rsidR="004102EB" w:rsidRPr="0036116F"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03" w:rsidRDefault="001D0703" w:rsidP="00F74468">
      <w:pPr>
        <w:spacing w:after="0" w:line="240" w:lineRule="auto"/>
      </w:pPr>
      <w:r>
        <w:separator/>
      </w:r>
    </w:p>
  </w:endnote>
  <w:endnote w:type="continuationSeparator" w:id="0">
    <w:p w:rsidR="001D0703" w:rsidRDefault="001D0703"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A53F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4E6C">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4E6C">
      <w:rPr>
        <w:rFonts w:ascii="Arial" w:hAnsi="Arial" w:cs="Arial"/>
        <w:b/>
        <w:bCs/>
        <w:noProof/>
        <w:sz w:val="20"/>
        <w:szCs w:val="20"/>
      </w:rPr>
      <w:t>7</w:t>
    </w:r>
    <w:r w:rsidRPr="00986599">
      <w:rPr>
        <w:rFonts w:ascii="Arial" w:hAnsi="Arial" w:cs="Arial"/>
        <w:b/>
        <w:bCs/>
        <w:sz w:val="20"/>
        <w:szCs w:val="20"/>
      </w:rPr>
      <w:fldChar w:fldCharType="end"/>
    </w:r>
  </w:p>
  <w:p w:rsidR="00D758BE" w:rsidRDefault="009B4E6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03" w:rsidRDefault="001D0703" w:rsidP="00F74468">
      <w:pPr>
        <w:spacing w:after="0" w:line="240" w:lineRule="auto"/>
      </w:pPr>
      <w:r>
        <w:separator/>
      </w:r>
    </w:p>
  </w:footnote>
  <w:footnote w:type="continuationSeparator" w:id="0">
    <w:p w:rsidR="001D0703" w:rsidRDefault="001D0703" w:rsidP="00F74468">
      <w:pPr>
        <w:spacing w:after="0" w:line="240" w:lineRule="auto"/>
      </w:pPr>
      <w:r>
        <w:continuationSeparator/>
      </w:r>
    </w:p>
  </w:footnote>
  <w:footnote w:id="1">
    <w:p w:rsidR="0036116F" w:rsidRPr="00CC2A00" w:rsidRDefault="0036116F" w:rsidP="0036116F">
      <w:pPr>
        <w:pStyle w:val="Textonotapie"/>
        <w:jc w:val="both"/>
        <w:rPr>
          <w:rFonts w:ascii="Palatino Linotype" w:hAnsi="Palatino Linotype"/>
          <w:sz w:val="16"/>
        </w:rPr>
      </w:pPr>
      <w:r>
        <w:rPr>
          <w:rStyle w:val="Refdenotaalpie"/>
        </w:rPr>
        <w:footnoteRef/>
      </w:r>
      <w:r>
        <w:t xml:space="preserve"> </w:t>
      </w:r>
      <w:r w:rsidRPr="00CC2A00">
        <w:rPr>
          <w:rFonts w:ascii="Palatino Linotype" w:hAnsi="Palatino Linotype"/>
          <w:sz w:val="16"/>
        </w:rPr>
        <w:t xml:space="preserve">“Artículo 186. Las resoluciones del Instituto podrán: </w:t>
      </w:r>
    </w:p>
    <w:p w:rsidR="0036116F" w:rsidRPr="00CC2A00" w:rsidRDefault="0036116F" w:rsidP="0036116F">
      <w:pPr>
        <w:pStyle w:val="Textonotapie"/>
        <w:jc w:val="both"/>
        <w:rPr>
          <w:rFonts w:ascii="Palatino Linotype" w:hAnsi="Palatino Linotype"/>
          <w:sz w:val="16"/>
        </w:rPr>
      </w:pPr>
      <w:r w:rsidRPr="00CC2A00">
        <w:rPr>
          <w:rFonts w:ascii="Palatino Linotype" w:hAnsi="Palatino Linotype"/>
          <w:sz w:val="16"/>
        </w:rPr>
        <w:t xml:space="preserve">I. Desechar o sobreseer el recurso; </w:t>
      </w:r>
    </w:p>
    <w:p w:rsidR="0036116F" w:rsidRPr="00CC2A00" w:rsidRDefault="0036116F" w:rsidP="0036116F">
      <w:pPr>
        <w:pStyle w:val="Textonotapie"/>
        <w:jc w:val="both"/>
        <w:rPr>
          <w:rFonts w:ascii="Palatino Linotype" w:hAnsi="Palatino Linotype"/>
          <w:sz w:val="16"/>
        </w:rPr>
      </w:pPr>
      <w:r w:rsidRPr="00CC2A00">
        <w:rPr>
          <w:rFonts w:ascii="Palatino Linotype" w:hAnsi="Palatino Linotype"/>
          <w:sz w:val="16"/>
        </w:rPr>
        <w:t xml:space="preserve">II. Confirmar la respuesta del sujeto obligado; </w:t>
      </w:r>
    </w:p>
    <w:p w:rsidR="0036116F" w:rsidRPr="00CC2A00" w:rsidRDefault="0036116F" w:rsidP="0036116F">
      <w:pPr>
        <w:pStyle w:val="Textonotapie"/>
        <w:jc w:val="both"/>
        <w:rPr>
          <w:rFonts w:ascii="Palatino Linotype" w:hAnsi="Palatino Linotype"/>
          <w:sz w:val="16"/>
        </w:rPr>
      </w:pPr>
      <w:r w:rsidRPr="00CC2A00">
        <w:rPr>
          <w:rFonts w:ascii="Palatino Linotype" w:hAnsi="Palatino Linotype"/>
          <w:sz w:val="16"/>
        </w:rPr>
        <w:t xml:space="preserve">III. Revocar o modificar la respuesta del sujeto obligado; y </w:t>
      </w:r>
    </w:p>
    <w:p w:rsidR="0036116F" w:rsidRDefault="0036116F" w:rsidP="0036116F">
      <w:pPr>
        <w:pStyle w:val="Textonotapie"/>
        <w:jc w:val="both"/>
      </w:pPr>
      <w:r w:rsidRPr="00CC2A00">
        <w:rPr>
          <w:rFonts w:ascii="Palatino Linotype" w:hAnsi="Palatino Linotype"/>
          <w:sz w:val="16"/>
        </w:rPr>
        <w:t>IV. Ordenar la entrega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A53F2">
    <w:pPr>
      <w:pStyle w:val="Encabezado"/>
    </w:pPr>
    <w:r>
      <w:rPr>
        <w:noProof/>
        <w:lang w:val="es-MX" w:eastAsia="es-MX"/>
      </w:rPr>
      <mc:AlternateContent>
        <mc:Choice Requires="wps">
          <w:drawing>
            <wp:anchor distT="0" distB="0" distL="114300" distR="114300" simplePos="0" relativeHeight="251659264" behindDoc="1" locked="0" layoutInCell="0" allowOverlap="1" wp14:anchorId="5C1395AF" wp14:editId="7662328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395A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A53F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39BB6A" wp14:editId="31D79EE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9B4E6C" w:rsidP="007263BB">
    <w:pPr>
      <w:pStyle w:val="Encabezado"/>
      <w:jc w:val="right"/>
      <w:rPr>
        <w:rFonts w:ascii="Arial" w:hAnsi="Arial" w:cs="Arial"/>
        <w:sz w:val="20"/>
        <w:szCs w:val="20"/>
      </w:rPr>
    </w:pPr>
  </w:p>
  <w:p w:rsidR="00D758BE" w:rsidRDefault="009B4E6C" w:rsidP="007263BB">
    <w:pPr>
      <w:pStyle w:val="Encabezado"/>
      <w:jc w:val="right"/>
      <w:rPr>
        <w:rFonts w:ascii="Arial" w:hAnsi="Arial" w:cs="Arial"/>
        <w:sz w:val="20"/>
        <w:szCs w:val="20"/>
      </w:rPr>
    </w:pPr>
  </w:p>
  <w:p w:rsidR="00706042" w:rsidRPr="00563D0F" w:rsidRDefault="004A53F2"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4A53F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DA1A15">
      <w:rPr>
        <w:rFonts w:ascii="Palatino Linotype" w:hAnsi="Palatino Linotype" w:cs="Arial"/>
        <w:b/>
        <w:sz w:val="20"/>
        <w:szCs w:val="20"/>
      </w:rPr>
      <w:t>04098</w:t>
    </w:r>
    <w:r>
      <w:rPr>
        <w:rFonts w:ascii="Palatino Linotype" w:hAnsi="Palatino Linotype" w:cs="Arial"/>
        <w:b/>
        <w:sz w:val="20"/>
        <w:szCs w:val="20"/>
      </w:rPr>
      <w:t>/INFOEM/IP/RR/2018</w:t>
    </w:r>
  </w:p>
  <w:p w:rsidR="00D758BE" w:rsidRDefault="009B4E6C" w:rsidP="007263BB">
    <w:pPr>
      <w:pStyle w:val="Encabezado"/>
      <w:jc w:val="right"/>
      <w:rPr>
        <w:rFonts w:ascii="Palatino Linotype" w:hAnsi="Palatino Linotype" w:cs="Arial"/>
        <w:sz w:val="20"/>
        <w:szCs w:val="20"/>
      </w:rPr>
    </w:pPr>
  </w:p>
  <w:p w:rsidR="00233AB2" w:rsidRDefault="009B4E6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1D0703"/>
    <w:rsid w:val="0036116F"/>
    <w:rsid w:val="004A53F2"/>
    <w:rsid w:val="00504068"/>
    <w:rsid w:val="005A0D29"/>
    <w:rsid w:val="005D7FA9"/>
    <w:rsid w:val="00662206"/>
    <w:rsid w:val="0078274C"/>
    <w:rsid w:val="007A31EC"/>
    <w:rsid w:val="00803480"/>
    <w:rsid w:val="008D60B1"/>
    <w:rsid w:val="00941B56"/>
    <w:rsid w:val="009B4E6C"/>
    <w:rsid w:val="00B87BB8"/>
    <w:rsid w:val="00BA7040"/>
    <w:rsid w:val="00C5634F"/>
    <w:rsid w:val="00C74485"/>
    <w:rsid w:val="00DA1A15"/>
    <w:rsid w:val="00DD5D32"/>
    <w:rsid w:val="00E977B7"/>
    <w:rsid w:val="00F74468"/>
    <w:rsid w:val="00F74D95"/>
    <w:rsid w:val="00F92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F74468"/>
    <w:pPr>
      <w:ind w:left="720"/>
      <w:contextualSpacing/>
    </w:pPr>
  </w:style>
  <w:style w:type="character" w:customStyle="1" w:styleId="PrrafodelistaCar">
    <w:name w:val="Párrafo de lista Car"/>
    <w:link w:val="Prrafodelista"/>
    <w:uiPriority w:val="34"/>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2019-01-21T19:35:00Z</cp:lastPrinted>
  <dcterms:created xsi:type="dcterms:W3CDTF">2019-02-27T22:57:00Z</dcterms:created>
  <dcterms:modified xsi:type="dcterms:W3CDTF">2019-02-27T22:57:00Z</dcterms:modified>
</cp:coreProperties>
</file>